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C42A61"/>
          <w:sz w:val="18"/>
          <w:szCs w:val="18"/>
        </w:rPr>
        <w:t xml:space="preserve">DRAFT FOR REVIEW</w:t>
      </w:r>
    </w:p>
    <w:p>
      <w:pPr>
        <w:spacing w:after="60"/>
      </w:pPr>
      <w:r>
        <w:rPr>
          <w:rFonts w:ascii="Cambria" w:cs="Cambria" w:eastAsia="Cambria" w:hAnsi="Cambria"/>
          <w:b/>
          <w:bCs/>
          <w:color w:val="3D1F3D"/>
          <w:sz w:val="44"/>
          <w:szCs w:val="44"/>
        </w:rPr>
        <w:t xml:space="preserve">Seeing Ourselves in Our Literature</w:t>
      </w:r>
    </w:p>
    <w:p>
      <w:pPr>
        <w:spacing w:after="200"/>
      </w:pPr>
      <w:r>
        <w:rPr>
          <w:rFonts w:ascii="Calibri" w:cs="Calibri" w:eastAsia="Calibri" w:hAnsi="Calibri"/>
          <w:i/>
          <w:iCs/>
          <w:color w:val="5C3A5C"/>
          <w:sz w:val="24"/>
          <w:szCs w:val="24"/>
        </w:rPr>
        <w:t xml:space="preserve">A 75-minute convention workshop on IP #1 and the gender-neutral language project</w:t>
      </w:r>
    </w:p>
    <w:p>
      <w:pPr>
        <w:pBdr>
          <w:bottom w:val="single" w:color="C42A61" w:sz="12" w:space="6"/>
        </w:pBdr>
        <w:spacing w:after="300"/>
      </w:pPr>
    </w:p>
    <w:p>
      <w:pPr>
        <w:pStyle w:val="Heading2"/>
        <w:spacing w:after="120" w:before="300"/>
      </w:pPr>
      <w:r>
        <w:rPr>
          <w:rFonts w:ascii="Cambria" w:cs="Cambria" w:eastAsia="Cambria" w:hAnsi="Cambria"/>
          <w:b/>
          <w:bCs/>
          <w:color w:val="3D1F3D"/>
          <w:sz w:val="26"/>
          <w:szCs w:val="26"/>
        </w:rPr>
        <w:t xml:space="preserve">About this profile</w:t>
      </w:r>
    </w:p>
    <w:p>
      <w:pPr>
        <w:spacing w:after="140" w:line="276"/>
      </w:pPr>
      <w:r>
        <w:rPr>
          <w:rFonts w:ascii="Calibri" w:cs="Calibri" w:eastAsia="Calibri" w:hAnsi="Calibri"/>
          <w:color w:val="2B2B2B"/>
          <w:sz w:val="21"/>
          <w:szCs w:val="21"/>
        </w:rPr>
        <w:t xml:space="preserve">This is a standalone convention workshop built from published NAWS materials: the WSC 2026 Summary of Decisions, the June 2026 NAWS News, the Safety and Belonging/Gender-Neutral Language project plan in the WSC 2026 CAT, the IP #1 review draft and cover letter posted July 2026, and the project flyer posted August 2026.</w:t>
      </w:r>
    </w:p>
    <w:p>
      <w:pPr>
        <w:spacing w:after="140" w:line="276"/>
      </w:pPr>
      <w:r>
        <w:rPr>
          <w:rFonts w:ascii="Calibri" w:cs="Calibri" w:eastAsia="Calibri" w:hAnsi="Calibri"/>
          <w:color w:val="2B2B2B"/>
          <w:sz w:val="21"/>
          <w:szCs w:val="21"/>
        </w:rPr>
        <w:t xml:space="preserve">It is not an official NAWS Issue Discussion Topic profile. It is a local workshop designed to introduce convention attendees to the IP #1 review draft while the Fellowship review period is open, and to encourage them to submit input.</w:t>
      </w:r>
    </w:p>
    <w:p>
      <w:pPr>
        <w:spacing w:after="80"/>
      </w:pPr>
    </w:p>
    <w:p>
      <w:pPr>
        <w:spacing w:after="60" w:line="276"/>
      </w:pPr>
      <w:r>
        <w:rPr>
          <w:rFonts w:ascii="Calibri" w:cs="Calibri" w:eastAsia="Calibri" w:hAnsi="Calibri"/>
          <w:b/>
          <w:bCs/>
          <w:color w:val="2B2B2B"/>
          <w:sz w:val="21"/>
          <w:szCs w:val="21"/>
        </w:rPr>
        <w:t xml:space="preserve">Format: </w:t>
      </w:r>
      <w:r>
        <w:rPr>
          <w:rFonts w:ascii="Calibri" w:cs="Calibri" w:eastAsia="Calibri" w:hAnsi="Calibri"/>
          <w:color w:val="2B2B2B"/>
          <w:sz w:val="21"/>
          <w:szCs w:val="21"/>
        </w:rPr>
        <w:t xml:space="preserve">75 minutes, one or two presenters, room set at tables if possible</w:t>
      </w:r>
    </w:p>
    <w:p>
      <w:pPr>
        <w:spacing w:after="60" w:line="276"/>
      </w:pPr>
      <w:r>
        <w:rPr>
          <w:rFonts w:ascii="Calibri" w:cs="Calibri" w:eastAsia="Calibri" w:hAnsi="Calibri"/>
          <w:b/>
          <w:bCs/>
          <w:color w:val="2B2B2B"/>
          <w:sz w:val="21"/>
          <w:szCs w:val="21"/>
        </w:rPr>
        <w:t xml:space="preserve">Audience: </w:t>
      </w:r>
      <w:r>
        <w:rPr>
          <w:rFonts w:ascii="Calibri" w:cs="Calibri" w:eastAsia="Calibri" w:hAnsi="Calibri"/>
          <w:color w:val="2B2B2B"/>
          <w:sz w:val="21"/>
          <w:szCs w:val="21"/>
        </w:rPr>
        <w:t xml:space="preserve">General convention attendance, mixed service experience</w:t>
      </w:r>
    </w:p>
    <w:p>
      <w:pPr>
        <w:spacing w:after="60" w:line="276"/>
      </w:pPr>
      <w:r>
        <w:rPr>
          <w:rFonts w:ascii="Calibri" w:cs="Calibri" w:eastAsia="Calibri" w:hAnsi="Calibri"/>
          <w:b/>
          <w:bCs/>
          <w:color w:val="2B2B2B"/>
          <w:sz w:val="21"/>
          <w:szCs w:val="21"/>
        </w:rPr>
        <w:t xml:space="preserve">Materials: </w:t>
      </w:r>
      <w:r>
        <w:rPr>
          <w:rFonts w:ascii="Calibri" w:cs="Calibri" w:eastAsia="Calibri" w:hAnsi="Calibri"/>
          <w:color w:val="2B2B2B"/>
          <w:sz w:val="21"/>
          <w:szCs w:val="21"/>
        </w:rPr>
        <w:t xml:space="preserve">Slides, one discussion sheet per table, pens, copies of the current IP #1 and the review draft, the QR code from the project flyer displayed at the close</w:t>
      </w:r>
    </w:p>
    <w:p>
      <w:pPr>
        <w:spacing w:after="200" w:line="276"/>
      </w:pPr>
      <w:r>
        <w:rPr>
          <w:rFonts w:ascii="Calibri" w:cs="Calibri" w:eastAsia="Calibri" w:hAnsi="Calibri"/>
          <w:b/>
          <w:bCs/>
          <w:color w:val="2B2B2B"/>
          <w:sz w:val="21"/>
          <w:szCs w:val="21"/>
        </w:rPr>
        <w:t xml:space="preserve">Outcome sought: </w:t>
      </w:r>
      <w:r>
        <w:rPr>
          <w:rFonts w:ascii="Calibri" w:cs="Calibri" w:eastAsia="Calibri" w:hAnsi="Calibri"/>
          <w:color w:val="2B2B2B"/>
          <w:sz w:val="21"/>
          <w:szCs w:val="21"/>
        </w:rPr>
        <w:t xml:space="preserve">Attendees submit input at na.org/genderproject before the review closes at the end of October 2026</w:t>
      </w:r>
    </w:p>
    <w:p>
      <w:pPr>
        <w:pStyle w:val="Heading2"/>
        <w:spacing w:after="120" w:before="300"/>
      </w:pPr>
      <w:r>
        <w:rPr>
          <w:rFonts w:ascii="Cambria" w:cs="Cambria" w:eastAsia="Cambria" w:hAnsi="Cambria"/>
          <w:b/>
          <w:bCs/>
          <w:color w:val="3D1F3D"/>
          <w:sz w:val="26"/>
          <w:szCs w:val="26"/>
        </w:rPr>
        <w:t xml:space="preserve">A note on framing</w:t>
      </w:r>
    </w:p>
    <w:p>
      <w:pPr>
        <w:spacing w:after="140" w:line="276"/>
      </w:pPr>
      <w:r>
        <w:rPr>
          <w:rFonts w:ascii="Calibri" w:cs="Calibri" w:eastAsia="Calibri" w:hAnsi="Calibri"/>
          <w:color w:val="2B2B2B"/>
          <w:sz w:val="21"/>
          <w:szCs w:val="21"/>
        </w:rPr>
        <w:t xml:space="preserve">The strategic plan objective this project sits under, Objective 7, is titled Safety and Belonging, and it covers a wide range of work: predatory behavior, disruptive behavior in virtual meetings, guidance in the Group Booklet, and more. Objective 8, on DRT/MAT and helping members take root, sits alongside it.</w:t>
      </w:r>
    </w:p>
    <w:p>
      <w:pPr>
        <w:spacing w:after="140" w:line="276"/>
      </w:pPr>
      <w:r>
        <w:rPr>
          <w:rFonts w:ascii="Calibri" w:cs="Calibri" w:eastAsia="Calibri" w:hAnsi="Calibri"/>
          <w:color w:val="2B2B2B"/>
          <w:sz w:val="21"/>
          <w:szCs w:val="21"/>
        </w:rPr>
        <w:t xml:space="preserve">This workshop does not attempt to cover that whole umbrella. It is focused on one piece: the words we use to describe ourselves, and whether those words help or hinder identification. The broader picture is named once, early, in a sentence or two, and then set aside. Facilitators should resist the pull to open it back up.</w:t>
      </w:r>
    </w:p>
    <w:p>
      <w:r>
        <w:br w:type="page"/>
      </w:r>
    </w:p>
    <w:p>
      <w:pPr>
        <w:pStyle w:val="Heading1"/>
        <w:spacing w:after="160" w:before="360"/>
      </w:pPr>
      <w:r>
        <w:rPr>
          <w:rFonts w:ascii="Cambria" w:cs="Cambria" w:eastAsia="Cambria" w:hAnsi="Cambria"/>
          <w:b/>
          <w:bCs/>
          <w:color w:val="3D1F3D"/>
          <w:sz w:val="34"/>
          <w:szCs w:val="34"/>
        </w:rPr>
        <w:t xml:space="preserve">Facilitator outline</w:t>
      </w:r>
    </w:p>
    <w:p>
      <w:pPr>
        <w:pStyle w:val="Heading2"/>
        <w:spacing w:after="120" w:before="300"/>
      </w:pPr>
      <w:r>
        <w:rPr>
          <w:rFonts w:ascii="Cambria" w:cs="Cambria" w:eastAsia="Cambria" w:hAnsi="Cambria"/>
          <w:b/>
          <w:bCs/>
          <w:color w:val="C42A61"/>
          <w:sz w:val="26"/>
          <w:szCs w:val="26"/>
        </w:rPr>
        <w:t xml:space="preserve">1.  Welcome and framing</w:t>
      </w:r>
    </w:p>
    <w:p>
      <w:pPr>
        <w:spacing w:after="160" w:line="276"/>
      </w:pPr>
      <w:r>
        <w:rPr>
          <w:rFonts w:ascii="Calibri" w:cs="Calibri" w:eastAsia="Calibri" w:hAnsi="Calibri"/>
          <w:i/>
          <w:iCs/>
          <w:color w:val="5A5A5A"/>
          <w:sz w:val="19"/>
          <w:szCs w:val="19"/>
        </w:rPr>
        <w:t xml:space="preserve">10 minutes</w:t>
      </w:r>
    </w:p>
    <w:p>
      <w:pPr>
        <w:spacing w:after="80" w:line="276"/>
      </w:pPr>
      <w:r>
        <w:rPr>
          <w:rFonts w:ascii="Calibri" w:cs="Calibri" w:eastAsia="Calibri" w:hAnsi="Calibri"/>
          <w:b/>
          <w:bCs/>
          <w:color w:val="3D1F3D"/>
          <w:sz w:val="21"/>
          <w:szCs w:val="21"/>
        </w:rPr>
        <w:t xml:space="preserve">Slide 1: Title</w:t>
      </w:r>
    </w:p>
    <w:p>
      <w:pPr>
        <w:spacing w:after="140" w:line="276"/>
      </w:pPr>
      <w:r>
        <w:rPr>
          <w:rFonts w:ascii="Calibri" w:cs="Calibri" w:eastAsia="Calibri" w:hAnsi="Calibri"/>
          <w:color w:val="2B2B2B"/>
          <w:sz w:val="21"/>
          <w:szCs w:val="21"/>
        </w:rPr>
        <w:t xml:space="preserve">Welcome everyone. Introduce presenters. Brief housekeeping.</w:t>
      </w:r>
    </w:p>
    <w:p>
      <w:pPr>
        <w:spacing w:after="100" w:line="276"/>
      </w:pPr>
      <w:r>
        <w:rPr>
          <w:rFonts w:ascii="Calibri" w:cs="Calibri" w:eastAsia="Calibri" w:hAnsi="Calibri"/>
          <w:color w:val="2B2B2B"/>
          <w:sz w:val="21"/>
          <w:szCs w:val="21"/>
        </w:rPr>
        <w:t xml:space="preserve">Say something close to this:</w:t>
      </w:r>
    </w:p>
    <w:p>
      <w:pPr>
        <w:pBdr>
          <w:left w:val="single" w:color="C42A61" w:sz="12" w:space="12"/>
        </w:pBdr>
        <w:spacing w:after="140" w:line="276"/>
        <w:ind w:left="360"/>
      </w:pPr>
      <w:r>
        <w:rPr>
          <w:rFonts w:ascii="Calibri" w:cs="Calibri" w:eastAsia="Calibri" w:hAnsi="Calibri"/>
          <w:i/>
          <w:iCs/>
          <w:color w:val="3A3A3A"/>
          <w:sz w:val="21"/>
          <w:szCs w:val="21"/>
        </w:rPr>
        <w:t xml:space="preserve">This is a workshop about identification. About whether an addict who walks into their first meeting hears something they can see themselves in.</w:t>
      </w:r>
    </w:p>
    <w:p>
      <w:pPr>
        <w:pBdr>
          <w:left w:val="single" w:color="C42A61" w:sz="12" w:space="12"/>
        </w:pBdr>
        <w:spacing w:after="140" w:line="276"/>
        <w:ind w:left="360"/>
      </w:pPr>
      <w:r>
        <w:rPr>
          <w:rFonts w:ascii="Calibri" w:cs="Calibri" w:eastAsia="Calibri" w:hAnsi="Calibri"/>
          <w:i/>
          <w:iCs/>
          <w:color w:val="3A3A3A"/>
          <w:sz w:val="21"/>
          <w:szCs w:val="21"/>
        </w:rPr>
        <w:t xml:space="preserve">Narcotics Anonymous is in the middle of a Fellowship-wide conversation about the words we use to describe ourselves in our literature. There is a draft revision of IP #1 posted right now for Fellowship review, and the review closes at the end of October. So this is a live conversation, and your voice counts in it.</w:t>
      </w:r>
    </w:p>
    <w:p>
      <w:pPr>
        <w:pBdr>
          <w:left w:val="single" w:color="C42A61" w:sz="12" w:space="12"/>
        </w:pBdr>
        <w:spacing w:after="140" w:line="276"/>
        <w:ind w:left="360"/>
      </w:pPr>
      <w:r>
        <w:rPr>
          <w:rFonts w:ascii="Calibri" w:cs="Calibri" w:eastAsia="Calibri" w:hAnsi="Calibri"/>
          <w:i/>
          <w:iCs/>
          <w:color w:val="3A3A3A"/>
          <w:sz w:val="21"/>
          <w:szCs w:val="21"/>
        </w:rPr>
        <w:t xml:space="preserve">We are not making a decision today. We are going to look at what is actually being proposed, hear it read out loud, talk about it together, and then you will know how to send your input to World Services.</w:t>
      </w:r>
    </w:p>
    <w:p>
      <w:pPr>
        <w:spacing w:after="100"/>
      </w:pPr>
    </w:p>
    <w:p>
      <w:pPr>
        <w:spacing w:after="80" w:line="276"/>
      </w:pPr>
      <w:r>
        <w:rPr>
          <w:rFonts w:ascii="Calibri" w:cs="Calibri" w:eastAsia="Calibri" w:hAnsi="Calibri"/>
          <w:b/>
          <w:bCs/>
          <w:color w:val="3D1F3D"/>
          <w:sz w:val="21"/>
          <w:szCs w:val="21"/>
        </w:rPr>
        <w:t xml:space="preserve">Slide 2: What this is and is not</w:t>
      </w:r>
    </w:p>
    <w:p>
      <w:pPr>
        <w:spacing w:after="140" w:line="276"/>
      </w:pPr>
      <w:r>
        <w:rPr>
          <w:rFonts w:ascii="Calibri" w:cs="Calibri" w:eastAsia="Calibri" w:hAnsi="Calibri"/>
          <w:color w:val="2B2B2B"/>
          <w:sz w:val="21"/>
          <w:szCs w:val="21"/>
        </w:rPr>
        <w:t xml:space="preserve">State the scope guardrails plainly. This is the single most important minute of the workshop.</w:t>
      </w:r>
    </w:p>
    <w:p>
      <w:pPr>
        <w:pBdr>
          <w:left w:val="single" w:color="C42A61" w:sz="12" w:space="12"/>
        </w:pBdr>
        <w:spacing w:after="140" w:line="276"/>
        <w:ind w:left="360"/>
      </w:pPr>
      <w:r>
        <w:rPr>
          <w:rFonts w:ascii="Calibri" w:cs="Calibri" w:eastAsia="Calibri" w:hAnsi="Calibri"/>
          <w:i/>
          <w:iCs/>
          <w:color w:val="3A3A3A"/>
          <w:sz w:val="21"/>
          <w:szCs w:val="21"/>
        </w:rPr>
        <w:t xml:space="preserve">This conversation this cycle is only about the words that describe members and potential members. Words like “men and women.”</w:t>
      </w:r>
    </w:p>
    <w:p>
      <w:pPr>
        <w:pBdr>
          <w:left w:val="single" w:color="C42A61" w:sz="12" w:space="12"/>
        </w:pBdr>
        <w:spacing w:after="140" w:line="276"/>
        <w:ind w:left="360"/>
      </w:pPr>
      <w:r>
        <w:rPr>
          <w:rFonts w:ascii="Calibri" w:cs="Calibri" w:eastAsia="Calibri" w:hAnsi="Calibri"/>
          <w:i/>
          <w:iCs/>
          <w:color w:val="3A3A3A"/>
          <w:sz w:val="21"/>
          <w:szCs w:val="21"/>
        </w:rPr>
        <w:t xml:space="preserve">It is not about the words we use to describe God or a Higher Power. It is not about the wording of our Steps or our Traditions. It is not about changing anyone’s personal story or shared experience in the literature.</w:t>
      </w:r>
    </w:p>
    <w:p>
      <w:pPr>
        <w:spacing w:after="100" w:line="276"/>
      </w:pPr>
      <w:r>
        <w:rPr>
          <w:rFonts w:ascii="Calibri" w:cs="Calibri" w:eastAsia="Calibri" w:hAnsi="Calibri"/>
          <w:color w:val="2B2B2B"/>
          <w:sz w:val="21"/>
          <w:szCs w:val="21"/>
        </w:rPr>
        <w:t xml:space="preserve">Then the one-sentence nod to the larger picture, and move on:</w:t>
      </w:r>
    </w:p>
    <w:p>
      <w:pPr>
        <w:pBdr>
          <w:left w:val="single" w:color="C42A61" w:sz="12" w:space="12"/>
        </w:pBdr>
        <w:spacing w:after="140" w:line="276"/>
        <w:ind w:left="360"/>
      </w:pPr>
      <w:r>
        <w:rPr>
          <w:rFonts w:ascii="Calibri" w:cs="Calibri" w:eastAsia="Calibri" w:hAnsi="Calibri"/>
          <w:i/>
          <w:iCs/>
          <w:color w:val="3A3A3A"/>
          <w:sz w:val="21"/>
          <w:szCs w:val="21"/>
        </w:rPr>
        <w:t xml:space="preserve">This is one part of a bigger effort in NA around safety and belonging, which also includes work on predatory and disruptive behavior and other things. Tonight we are staying on this one piece.</w:t>
      </w:r>
    </w:p>
    <w:p>
      <w:pPr>
        <w:spacing w:after="80"/>
      </w:pPr>
    </w:p>
    <w:tbl>
      <w:tblPr>
        <w:tblW w:type="dxa" w:w="9360"/>
        <w:tblBorders>
          <w:top w:val="single" w:color="D8CBD3" w:sz="4"/>
          <w:left w:val="single" w:color="4E7A7B" w:sz="18"/>
          <w:bottom w:val="single" w:color="D8CBD3" w:sz="4"/>
          <w:right w:val="single" w:color="D8CBD3" w:sz="4"/>
          <w:insideH w:val="none" w:color="FFFFFF" w:sz="0"/>
          <w:insideV w:val="none" w:color="FFFFFF" w:sz="0"/>
        </w:tblBorders>
      </w:tblPr>
      <w:tblGrid>
        <w:gridCol w:w="9360"/>
      </w:tblGrid>
      <w:tr>
        <w:tc>
          <w:tcPr>
            <w:tcW w:type="dxa" w:w="9360"/>
            <w:shd w:fill="F4F0F2" w:val="clear"/>
            <w:tcMar>
              <w:top w:type="dxa" w:w="140"/>
              <w:left w:type="dxa" w:w="180"/>
              <w:bottom w:type="dxa" w:w="140"/>
              <w:right w:type="dxa" w:w="180"/>
            </w:tcMar>
          </w:tcPr>
          <w:p>
            <w:pPr>
              <w:spacing w:after="60"/>
            </w:pPr>
            <w:r>
              <w:rPr>
                <w:rFonts w:ascii="Calibri" w:cs="Calibri" w:eastAsia="Calibri" w:hAnsi="Calibri"/>
                <w:b/>
                <w:bCs/>
                <w:color w:val="4E7A7B"/>
                <w:sz w:val="20"/>
                <w:szCs w:val="20"/>
              </w:rPr>
              <w:t xml:space="preserve">Facilitator note</w:t>
            </w:r>
          </w:p>
          <w:p>
            <w:pPr>
              <w:spacing w:line="276"/>
            </w:pPr>
            <w:r>
              <w:rPr>
                <w:rFonts w:ascii="Calibri" w:cs="Calibri" w:eastAsia="Calibri" w:hAnsi="Calibri"/>
                <w:color w:val="2B2B2B"/>
                <w:sz w:val="20"/>
                <w:szCs w:val="20"/>
              </w:rPr>
              <w:t xml:space="preserve">Expect someone to raise the God language or the Steps within the first fifteen minutes. This is normal and not hostile. Acknowledge it, confirm that many members feel strongly about it, confirm that it is a recognized future conversation, and bring the room back. A useful line: “That is a real conversation and it is not this one. The reason we are starting here is that this piece is simpler, and starting somewhere is how we find out what we actually think.”</w:t>
            </w:r>
          </w:p>
        </w:tc>
      </w:tr>
    </w:tbl>
    <w:p>
      <w:pPr>
        <w:spacing w:after="200"/>
      </w:pPr>
    </w:p>
    <w:p>
      <w:pPr>
        <w:pStyle w:val="Heading2"/>
        <w:spacing w:after="120" w:before="300"/>
      </w:pPr>
      <w:r>
        <w:rPr>
          <w:rFonts w:ascii="Cambria" w:cs="Cambria" w:eastAsia="Cambria" w:hAnsi="Cambria"/>
          <w:b/>
          <w:bCs/>
          <w:color w:val="C42A61"/>
          <w:sz w:val="26"/>
          <w:szCs w:val="26"/>
        </w:rPr>
        <w:t xml:space="preserve">2.  Where this came from</w:t>
      </w:r>
    </w:p>
    <w:p>
      <w:pPr>
        <w:spacing w:after="160" w:line="276"/>
      </w:pPr>
      <w:r>
        <w:rPr>
          <w:rFonts w:ascii="Calibri" w:cs="Calibri" w:eastAsia="Calibri" w:hAnsi="Calibri"/>
          <w:i/>
          <w:iCs/>
          <w:color w:val="5A5A5A"/>
          <w:sz w:val="19"/>
          <w:szCs w:val="19"/>
        </w:rPr>
        <w:t xml:space="preserve">8 minutes</w:t>
      </w:r>
    </w:p>
    <w:p>
      <w:pPr>
        <w:spacing w:after="80" w:line="276"/>
      </w:pPr>
      <w:r>
        <w:rPr>
          <w:rFonts w:ascii="Calibri" w:cs="Calibri" w:eastAsia="Calibri" w:hAnsi="Calibri"/>
          <w:b/>
          <w:bCs/>
          <w:color w:val="3D1F3D"/>
          <w:sz w:val="21"/>
          <w:szCs w:val="21"/>
        </w:rPr>
        <w:t xml:space="preserve">Slide 3: How we got here</w:t>
      </w:r>
    </w:p>
    <w:p>
      <w:pPr>
        <w:spacing w:after="140" w:line="276"/>
      </w:pPr>
      <w:r>
        <w:rPr>
          <w:rFonts w:ascii="Calibri" w:cs="Calibri" w:eastAsia="Calibri" w:hAnsi="Calibri"/>
          <w:color w:val="2B2B2B"/>
          <w:sz w:val="21"/>
          <w:szCs w:val="21"/>
        </w:rPr>
        <w:t xml:space="preserve">Walk the timeline briefly. Do not turn this into a governance lecture.</w:t>
      </w:r>
    </w:p>
    <w:p>
      <w:pPr>
        <w:pStyle w:val="ListParagraph"/>
        <w:numPr>
          <w:ilvl w:val="0"/>
          <w:numId w:val="2"/>
        </w:numPr>
        <w:spacing w:after="90" w:line="276"/>
      </w:pPr>
      <w:r>
        <w:rPr>
          <w:rFonts w:ascii="Calibri" w:cs="Calibri" w:eastAsia="Calibri" w:hAnsi="Calibri"/>
          <w:color w:val="2B2B2B"/>
          <w:sz w:val="21"/>
          <w:szCs w:val="21"/>
        </w:rPr>
        <w:t xml:space="preserve">A motion on this topic appeared in the 2020 CAR but was not taken up, because that conference was virtual and working from a limited agenda.</w:t>
      </w:r>
    </w:p>
    <w:p>
      <w:pPr>
        <w:pStyle w:val="ListParagraph"/>
        <w:numPr>
          <w:ilvl w:val="0"/>
          <w:numId w:val="2"/>
        </w:numPr>
        <w:spacing w:after="90" w:line="276"/>
      </w:pPr>
      <w:r>
        <w:rPr>
          <w:rFonts w:ascii="Calibri" w:cs="Calibri" w:eastAsia="Calibri" w:hAnsi="Calibri"/>
          <w:color w:val="2B2B2B"/>
          <w:sz w:val="21"/>
          <w:szCs w:val="21"/>
        </w:rPr>
        <w:t xml:space="preserve">In 2023 the World Service Conference passed a motion directing the World Board to create a project plan to investigate changes from gender-specific to gender-neutral and inclusive language. The vote was 92 yes, 31 no, 1 abstain, 1 present not voting.</w:t>
      </w:r>
    </w:p>
    <w:p>
      <w:pPr>
        <w:pStyle w:val="ListParagraph"/>
        <w:numPr>
          <w:ilvl w:val="0"/>
          <w:numId w:val="2"/>
        </w:numPr>
        <w:spacing w:after="90" w:line="276"/>
      </w:pPr>
      <w:r>
        <w:rPr>
          <w:rFonts w:ascii="Calibri" w:cs="Calibri" w:eastAsia="Calibri" w:hAnsi="Calibri"/>
          <w:color w:val="2B2B2B"/>
          <w:sz w:val="21"/>
          <w:szCs w:val="21"/>
        </w:rPr>
        <w:t xml:space="preserve">The 2023 WSC also selected “Gender-neutral and inclusive language in NA literature” as one of four Issue Discussion Topics for the cycle. More than 5,500 members shared their perspectives through the survey.</w:t>
      </w:r>
    </w:p>
    <w:p>
      <w:pPr>
        <w:pStyle w:val="ListParagraph"/>
        <w:numPr>
          <w:ilvl w:val="0"/>
          <w:numId w:val="2"/>
        </w:numPr>
        <w:spacing w:after="90" w:line="276"/>
      </w:pPr>
      <w:r>
        <w:rPr>
          <w:rFonts w:ascii="Calibri" w:cs="Calibri" w:eastAsia="Calibri" w:hAnsi="Calibri"/>
          <w:color w:val="2B2B2B"/>
          <w:sz w:val="21"/>
          <w:szCs w:val="21"/>
        </w:rPr>
        <w:t xml:space="preserve">The 2026 CAR asked the Fellowship directly whether we are willing to explore these kinds of changes. Of more than 4,200 responses in 15 languages, just over 91 percent from individual members, 78 percent said yes, 16 percent said no, and the rest were unsure or other.</w:t>
      </w:r>
    </w:p>
    <w:p>
      <w:pPr>
        <w:pStyle w:val="ListParagraph"/>
        <w:numPr>
          <w:ilvl w:val="0"/>
          <w:numId w:val="2"/>
        </w:numPr>
        <w:spacing w:after="90" w:line="276"/>
      </w:pPr>
      <w:r>
        <w:rPr>
          <w:rFonts w:ascii="Calibri" w:cs="Calibri" w:eastAsia="Calibri" w:hAnsi="Calibri"/>
          <w:color w:val="2B2B2B"/>
          <w:sz w:val="21"/>
          <w:szCs w:val="21"/>
        </w:rPr>
        <w:t xml:space="preserve">At WSC 2026 in May, 261 delegates, alternates, and World Board members from 48 countries speaking 31 languages discussed this at length in small breakout groups. The conference approved the Safety and Belonging/Gender-Neutral Language project and decided to start with a draft revision of IP #1.</w:t>
      </w:r>
    </w:p>
    <w:p>
      <w:pPr>
        <w:spacing w:after="120"/>
      </w:pPr>
    </w:p>
    <w:p>
      <w:pPr>
        <w:spacing w:after="80" w:line="276"/>
      </w:pPr>
      <w:r>
        <w:rPr>
          <w:rFonts w:ascii="Calibri" w:cs="Calibri" w:eastAsia="Calibri" w:hAnsi="Calibri"/>
          <w:b/>
          <w:bCs/>
          <w:color w:val="3D1F3D"/>
          <w:sz w:val="21"/>
          <w:szCs w:val="21"/>
        </w:rPr>
        <w:t xml:space="preserve">Slide 4: Why IP #1</w:t>
      </w:r>
    </w:p>
    <w:p>
      <w:pPr>
        <w:pBdr>
          <w:left w:val="single" w:color="C42A61" w:sz="12" w:space="12"/>
        </w:pBdr>
        <w:spacing w:after="140" w:line="276"/>
        <w:ind w:left="360"/>
      </w:pPr>
      <w:r>
        <w:rPr>
          <w:rFonts w:ascii="Calibri" w:cs="Calibri" w:eastAsia="Calibri" w:hAnsi="Calibri"/>
          <w:i/>
          <w:iCs/>
          <w:color w:val="3A3A3A"/>
          <w:sz w:val="21"/>
          <w:szCs w:val="21"/>
        </w:rPr>
        <w:t xml:space="preserve">IP #1 is always the first piece of literature translated into any new language. And it contains Who Is an Addict, What Is the Narcotics Anonymous Program, and Why Are We Here. For a lot of us, those readings were the first thing we ever heard in an NA room.</w:t>
      </w:r>
    </w:p>
    <w:p>
      <w:pPr>
        <w:pBdr>
          <w:left w:val="single" w:color="C42A61" w:sz="12" w:space="12"/>
        </w:pBdr>
        <w:spacing w:after="140" w:line="276"/>
        <w:ind w:left="360"/>
      </w:pPr>
      <w:r>
        <w:rPr>
          <w:rFonts w:ascii="Calibri" w:cs="Calibri" w:eastAsia="Calibri" w:hAnsi="Calibri"/>
          <w:i/>
          <w:iCs/>
          <w:color w:val="3A3A3A"/>
          <w:sz w:val="21"/>
          <w:szCs w:val="21"/>
        </w:rPr>
        <w:t xml:space="preserve">The conference chose to start here so that the Fellowship could see a concrete example instead of arguing about an abstraction.</w:t>
      </w:r>
    </w:p>
    <w:p>
      <w:pPr>
        <w:spacing w:after="100"/>
      </w:pPr>
    </w:p>
    <w:p>
      <w:pPr>
        <w:spacing w:after="80" w:line="276"/>
      </w:pPr>
      <w:r>
        <w:rPr>
          <w:rFonts w:ascii="Calibri" w:cs="Calibri" w:eastAsia="Calibri" w:hAnsi="Calibri"/>
          <w:b/>
          <w:bCs/>
          <w:color w:val="3D1F3D"/>
          <w:sz w:val="21"/>
          <w:szCs w:val="21"/>
        </w:rPr>
        <w:t xml:space="preserve">Slide 5: Identification</w:t>
      </w:r>
    </w:p>
    <w:p>
      <w:pPr>
        <w:pBdr>
          <w:left w:val="single" w:color="C42A61" w:sz="12" w:space="12"/>
        </w:pBdr>
        <w:spacing w:after="140" w:line="276"/>
        <w:ind w:left="360"/>
      </w:pPr>
      <w:r>
        <w:rPr>
          <w:rFonts w:ascii="Calibri" w:cs="Calibri" w:eastAsia="Calibri" w:hAnsi="Calibri"/>
          <w:i/>
          <w:iCs/>
          <w:color w:val="3A3A3A"/>
          <w:sz w:val="21"/>
          <w:szCs w:val="21"/>
        </w:rPr>
        <w:t xml:space="preserve">In our most recent Membership Survey, 83 percent of members said identification was a major reason they kept coming back. That is what this is about.</w:t>
      </w:r>
    </w:p>
    <w:p>
      <w:pPr>
        <w:spacing w:after="200"/>
      </w:pPr>
    </w:p>
    <w:p>
      <w:pPr>
        <w:pStyle w:val="Heading2"/>
        <w:spacing w:after="120" w:before="300"/>
      </w:pPr>
      <w:r>
        <w:rPr>
          <w:rFonts w:ascii="Cambria" w:cs="Cambria" w:eastAsia="Cambria" w:hAnsi="Cambria"/>
          <w:b/>
          <w:bCs/>
          <w:color w:val="C42A61"/>
          <w:sz w:val="26"/>
          <w:szCs w:val="26"/>
        </w:rPr>
        <w:t xml:space="preserve">3.  Hearing the difference</w:t>
      </w:r>
    </w:p>
    <w:p>
      <w:pPr>
        <w:spacing w:after="160" w:line="276"/>
      </w:pPr>
      <w:r>
        <w:rPr>
          <w:rFonts w:ascii="Calibri" w:cs="Calibri" w:eastAsia="Calibri" w:hAnsi="Calibri"/>
          <w:i/>
          <w:iCs/>
          <w:color w:val="5A5A5A"/>
          <w:sz w:val="19"/>
          <w:szCs w:val="19"/>
        </w:rPr>
        <w:t xml:space="preserve">12 minutes</w:t>
      </w:r>
    </w:p>
    <w:p>
      <w:pPr>
        <w:spacing w:after="80" w:line="276"/>
      </w:pPr>
      <w:r>
        <w:rPr>
          <w:rFonts w:ascii="Calibri" w:cs="Calibri" w:eastAsia="Calibri" w:hAnsi="Calibri"/>
          <w:b/>
          <w:bCs/>
          <w:color w:val="3D1F3D"/>
          <w:sz w:val="21"/>
          <w:szCs w:val="21"/>
        </w:rPr>
        <w:t xml:space="preserve">Slide 6: Let’s hear it</w:t>
      </w:r>
    </w:p>
    <w:p>
      <w:pPr>
        <w:spacing w:after="140" w:line="276"/>
      </w:pPr>
      <w:r>
        <w:rPr>
          <w:rFonts w:ascii="Calibri" w:cs="Calibri" w:eastAsia="Calibri" w:hAnsi="Calibri"/>
          <w:color w:val="2B2B2B"/>
          <w:sz w:val="21"/>
          <w:szCs w:val="21"/>
        </w:rPr>
        <w:t xml:space="preserve">This is the center of the workshop. Do not skip it or rush it.</w:t>
      </w:r>
    </w:p>
    <w:p>
      <w:pPr>
        <w:spacing w:after="140" w:line="276"/>
      </w:pPr>
      <w:r>
        <w:rPr>
          <w:rFonts w:ascii="Calibri" w:cs="Calibri" w:eastAsia="Calibri" w:hAnsi="Calibri"/>
          <w:color w:val="2B2B2B"/>
          <w:sz w:val="21"/>
          <w:szCs w:val="21"/>
        </w:rPr>
        <w:t xml:space="preserve">Ask for volunteers from the room. Two readers, or split the room in halves, or go around tables. Have the room read the passages, not the presenter.</w:t>
      </w:r>
    </w:p>
    <w:p>
      <w:pPr>
        <w:spacing w:after="80" w:line="276"/>
      </w:pPr>
      <w:r>
        <w:rPr>
          <w:rFonts w:ascii="Calibri" w:cs="Calibri" w:eastAsia="Calibri" w:hAnsi="Calibri"/>
          <w:b/>
          <w:bCs/>
          <w:color w:val="C42A61"/>
          <w:sz w:val="21"/>
          <w:szCs w:val="21"/>
        </w:rPr>
        <w:t xml:space="preserve">Round one: </w:t>
      </w:r>
      <w:r>
        <w:rPr>
          <w:rFonts w:ascii="Calibri" w:cs="Calibri" w:eastAsia="Calibri" w:hAnsi="Calibri"/>
          <w:color w:val="2B2B2B"/>
          <w:sz w:val="21"/>
          <w:szCs w:val="21"/>
        </w:rPr>
        <w:t xml:space="preserve">Read the relevant passages from the current IP #1, as written on the reading cards.</w:t>
      </w:r>
    </w:p>
    <w:p>
      <w:pPr>
        <w:spacing w:after="80" w:line="276"/>
      </w:pPr>
      <w:r>
        <w:rPr>
          <w:rFonts w:ascii="Calibri" w:cs="Calibri" w:eastAsia="Calibri" w:hAnsi="Calibri"/>
          <w:b/>
          <w:bCs/>
          <w:color w:val="C42A61"/>
          <w:sz w:val="21"/>
          <w:szCs w:val="21"/>
        </w:rPr>
        <w:t xml:space="preserve">Round two: </w:t>
      </w:r>
      <w:r>
        <w:rPr>
          <w:rFonts w:ascii="Calibri" w:cs="Calibri" w:eastAsia="Calibri" w:hAnsi="Calibri"/>
          <w:color w:val="2B2B2B"/>
          <w:sz w:val="21"/>
          <w:szCs w:val="21"/>
        </w:rPr>
        <w:t xml:space="preserve">Read the same passages from the review draft.</w:t>
      </w:r>
    </w:p>
    <w:p>
      <w:pPr>
        <w:spacing w:after="140" w:line="276"/>
      </w:pPr>
      <w:r>
        <w:rPr>
          <w:rFonts w:ascii="Calibri" w:cs="Calibri" w:eastAsia="Calibri" w:hAnsi="Calibri"/>
          <w:color w:val="2B2B2B"/>
          <w:sz w:val="21"/>
          <w:szCs w:val="21"/>
        </w:rPr>
        <w:t xml:space="preserve">Let there be a beat of silence after the second reading before saying anything.</w:t>
      </w:r>
    </w:p>
    <w:p>
      <w:pPr>
        <w:spacing w:after="120"/>
      </w:pPr>
    </w:p>
    <w:p>
      <w:pPr>
        <w:spacing w:after="80" w:line="276"/>
      </w:pPr>
      <w:r>
        <w:rPr>
          <w:rFonts w:ascii="Calibri" w:cs="Calibri" w:eastAsia="Calibri" w:hAnsi="Calibri"/>
          <w:b/>
          <w:bCs/>
          <w:color w:val="3D1F3D"/>
          <w:sz w:val="21"/>
          <w:szCs w:val="21"/>
        </w:rPr>
        <w:t xml:space="preserve">Slide 7: The four changes</w:t>
      </w:r>
    </w:p>
    <w:p>
      <w:pPr>
        <w:spacing w:after="160" w:line="276"/>
      </w:pPr>
      <w:r>
        <w:rPr>
          <w:rFonts w:ascii="Calibri" w:cs="Calibri" w:eastAsia="Calibri" w:hAnsi="Calibri"/>
          <w:color w:val="2B2B2B"/>
          <w:sz w:val="21"/>
          <w:szCs w:val="21"/>
        </w:rPr>
        <w:t xml:space="preserve">Put the comparison on screen and walk it once, plainly.</w:t>
      </w:r>
    </w:p>
    <w:tbl>
      <w:tblPr>
        <w:tblW w:type="dxa" w:w="9360"/>
        <w:tblBorders>
          <w:top w:val="single" w:color="D8CBD3" w:sz="4"/>
          <w:left w:val="single" w:color="D8CBD3" w:sz="4"/>
          <w:bottom w:val="single" w:color="D8CBD3" w:sz="4"/>
          <w:right w:val="single" w:color="D8CBD3" w:sz="4"/>
          <w:insideH w:val="single" w:color="D8CBD3" w:sz="4"/>
          <w:insideV w:val="single" w:color="D8CBD3" w:sz="4"/>
        </w:tblBorders>
      </w:tblPr>
      <w:tblGrid>
        <w:gridCol w:w="2200"/>
        <w:gridCol w:w="3580"/>
        <w:gridCol w:w="3580"/>
      </w:tblGrid>
      <w:tr>
        <w:trPr>
          <w:tblHeader/>
        </w:trPr>
        <w:tc>
          <w:tcPr>
            <w:tcW w:type="dxa" w:w="2200"/>
            <w:shd w:fill="FFFFFF" w:val="clear"/>
            <w:tcMar>
              <w:top w:type="dxa" w:w="110"/>
              <w:left w:type="dxa" w:w="130"/>
              <w:bottom w:type="dxa" w:w="110"/>
              <w:right w:type="dxa" w:w="130"/>
            </w:tcMar>
          </w:tcPr>
          <w:p>
            <w:pPr>
              <w:spacing w:line="260"/>
            </w:pPr>
            <w:r>
              <w:rPr>
                <w:rFonts w:ascii="Calibri" w:cs="Calibri" w:eastAsia="Calibri" w:hAnsi="Calibri"/>
                <w:color w:val="2B2B2B"/>
                <w:sz w:val="19"/>
                <w:szCs w:val="19"/>
              </w:rPr>
              <w:t xml:space="preserve"/>
            </w:r>
          </w:p>
        </w:tc>
        <w:tc>
          <w:tcPr>
            <w:tcW w:type="dxa" w:w="3580"/>
            <w:shd w:fill="5C3A5C" w:val="clear"/>
            <w:tcMar>
              <w:top w:type="dxa" w:w="110"/>
              <w:left w:type="dxa" w:w="130"/>
              <w:bottom w:type="dxa" w:w="110"/>
              <w:right w:type="dxa" w:w="130"/>
            </w:tcMar>
          </w:tcPr>
          <w:p>
            <w:pPr>
              <w:spacing w:line="260"/>
            </w:pPr>
            <w:r>
              <w:rPr>
                <w:rFonts w:ascii="Calibri" w:cs="Calibri" w:eastAsia="Calibri" w:hAnsi="Calibri"/>
                <w:b/>
                <w:bCs/>
                <w:color w:val="FFFFFF"/>
                <w:sz w:val="20"/>
                <w:szCs w:val="20"/>
              </w:rPr>
              <w:t xml:space="preserve">Current</w:t>
            </w:r>
          </w:p>
        </w:tc>
        <w:tc>
          <w:tcPr>
            <w:tcW w:type="dxa" w:w="3580"/>
            <w:shd w:fill="C42A61" w:val="clear"/>
            <w:tcMar>
              <w:top w:type="dxa" w:w="110"/>
              <w:left w:type="dxa" w:w="130"/>
              <w:bottom w:type="dxa" w:w="110"/>
              <w:right w:type="dxa" w:w="130"/>
            </w:tcMar>
          </w:tcPr>
          <w:p>
            <w:pPr>
              <w:spacing w:line="260"/>
            </w:pPr>
            <w:r>
              <w:rPr>
                <w:rFonts w:ascii="Calibri" w:cs="Calibri" w:eastAsia="Calibri" w:hAnsi="Calibri"/>
                <w:b/>
                <w:bCs/>
                <w:color w:val="FFFFFF"/>
                <w:sz w:val="20"/>
                <w:szCs w:val="20"/>
              </w:rPr>
              <w:t xml:space="preserve">Proposed</w:t>
            </w:r>
          </w:p>
        </w:tc>
      </w:tr>
      <w:tr>
        <w:tc>
          <w:tcPr>
            <w:tcW w:type="dxa" w:w="2200"/>
            <w:shd w:fill="F0E9ED" w:val="clear"/>
            <w:tcMar>
              <w:top w:type="dxa" w:w="110"/>
              <w:left w:type="dxa" w:w="130"/>
              <w:bottom w:type="dxa" w:w="110"/>
              <w:right w:type="dxa" w:w="130"/>
            </w:tcMar>
          </w:tcPr>
          <w:p>
            <w:pPr>
              <w:spacing w:line="260"/>
            </w:pPr>
            <w:r>
              <w:rPr>
                <w:rFonts w:ascii="Calibri" w:cs="Calibri" w:eastAsia="Calibri" w:hAnsi="Calibri"/>
                <w:b/>
                <w:bCs/>
                <w:color w:val="3D1F3D"/>
                <w:sz w:val="19"/>
                <w:szCs w:val="19"/>
              </w:rPr>
              <w:t xml:space="preserve">Who is an addict?</w:t>
            </w:r>
          </w:p>
        </w:tc>
        <w:tc>
          <w:tcPr>
            <w:tcW w:type="dxa" w:w="3580"/>
            <w:shd w:fill="FFFFFF" w:val="clear"/>
            <w:tcMar>
              <w:top w:type="dxa" w:w="110"/>
              <w:left w:type="dxa" w:w="130"/>
              <w:bottom w:type="dxa" w:w="110"/>
              <w:right w:type="dxa" w:w="130"/>
            </w:tcMar>
          </w:tcPr>
          <w:p>
            <w:pPr>
              <w:spacing w:line="260"/>
            </w:pPr>
            <w:r>
              <w:rPr>
                <w:rFonts w:ascii="Calibri" w:cs="Calibri" w:eastAsia="Calibri" w:hAnsi="Calibri"/>
                <w:color w:val="5A5A5A"/>
                <w:sz w:val="19"/>
                <w:szCs w:val="19"/>
              </w:rPr>
              <w:t xml:space="preserve">“an addict is a man or a woman”</w:t>
            </w:r>
          </w:p>
        </w:tc>
        <w:tc>
          <w:tcPr>
            <w:tcW w:type="dxa" w:w="3580"/>
            <w:shd w:fill="FBEDF3" w:val="clear"/>
            <w:tcMar>
              <w:top w:type="dxa" w:w="110"/>
              <w:left w:type="dxa" w:w="130"/>
              <w:bottom w:type="dxa" w:w="110"/>
              <w:right w:type="dxa" w:w="130"/>
            </w:tcMar>
          </w:tcPr>
          <w:p>
            <w:pPr>
              <w:spacing w:line="260"/>
            </w:pPr>
            <w:r>
              <w:rPr>
                <w:rFonts w:ascii="Calibri" w:cs="Calibri" w:eastAsia="Calibri" w:hAnsi="Calibri"/>
                <w:b/>
                <w:bCs/>
                <w:color w:val="2B2B2B"/>
                <w:sz w:val="19"/>
                <w:szCs w:val="19"/>
              </w:rPr>
              <w:t xml:space="preserve">“an addict is a person”</w:t>
            </w:r>
          </w:p>
        </w:tc>
      </w:tr>
      <w:tr>
        <w:tc>
          <w:tcPr>
            <w:tcW w:type="dxa" w:w="2200"/>
            <w:shd w:fill="F0E9ED" w:val="clear"/>
            <w:tcMar>
              <w:top w:type="dxa" w:w="110"/>
              <w:left w:type="dxa" w:w="130"/>
              <w:bottom w:type="dxa" w:w="110"/>
              <w:right w:type="dxa" w:w="130"/>
            </w:tcMar>
          </w:tcPr>
          <w:p>
            <w:pPr>
              <w:spacing w:line="260"/>
            </w:pPr>
            <w:r>
              <w:rPr>
                <w:rFonts w:ascii="Calibri" w:cs="Calibri" w:eastAsia="Calibri" w:hAnsi="Calibri"/>
                <w:b/>
                <w:bCs/>
                <w:color w:val="3D1F3D"/>
                <w:sz w:val="19"/>
                <w:szCs w:val="19"/>
              </w:rPr>
              <w:t xml:space="preserve">What is the Narcotics Anonymous program?</w:t>
            </w:r>
          </w:p>
        </w:tc>
        <w:tc>
          <w:tcPr>
            <w:tcW w:type="dxa" w:w="3580"/>
            <w:shd w:fill="FFFFFF" w:val="clear"/>
            <w:tcMar>
              <w:top w:type="dxa" w:w="110"/>
              <w:left w:type="dxa" w:w="130"/>
              <w:bottom w:type="dxa" w:w="110"/>
              <w:right w:type="dxa" w:w="130"/>
            </w:tcMar>
          </w:tcPr>
          <w:p>
            <w:pPr>
              <w:spacing w:line="260"/>
            </w:pPr>
            <w:r>
              <w:rPr>
                <w:rFonts w:ascii="Calibri" w:cs="Calibri" w:eastAsia="Calibri" w:hAnsi="Calibri"/>
                <w:color w:val="5A5A5A"/>
                <w:sz w:val="19"/>
                <w:szCs w:val="19"/>
              </w:rPr>
              <w:t xml:space="preserve">“fellowship or society of men and women”</w:t>
            </w:r>
          </w:p>
        </w:tc>
        <w:tc>
          <w:tcPr>
            <w:tcW w:type="dxa" w:w="3580"/>
            <w:shd w:fill="FBEDF3" w:val="clear"/>
            <w:tcMar>
              <w:top w:type="dxa" w:w="110"/>
              <w:left w:type="dxa" w:w="130"/>
              <w:bottom w:type="dxa" w:w="110"/>
              <w:right w:type="dxa" w:w="130"/>
            </w:tcMar>
          </w:tcPr>
          <w:p>
            <w:pPr>
              <w:spacing w:line="260"/>
            </w:pPr>
            <w:r>
              <w:rPr>
                <w:rFonts w:ascii="Calibri" w:cs="Calibri" w:eastAsia="Calibri" w:hAnsi="Calibri"/>
                <w:b/>
                <w:bCs/>
                <w:color w:val="2B2B2B"/>
                <w:sz w:val="19"/>
                <w:szCs w:val="19"/>
              </w:rPr>
              <w:t xml:space="preserve">“fellowship or society of people”</w:t>
            </w:r>
          </w:p>
        </w:tc>
      </w:tr>
      <w:tr>
        <w:tc>
          <w:tcPr>
            <w:tcW w:type="dxa" w:w="2200"/>
            <w:shd w:fill="F0E9ED" w:val="clear"/>
            <w:tcMar>
              <w:top w:type="dxa" w:w="110"/>
              <w:left w:type="dxa" w:w="130"/>
              <w:bottom w:type="dxa" w:w="110"/>
              <w:right w:type="dxa" w:w="130"/>
            </w:tcMar>
          </w:tcPr>
          <w:p>
            <w:pPr>
              <w:spacing w:line="260"/>
            </w:pPr>
            <w:r>
              <w:rPr>
                <w:rFonts w:ascii="Calibri" w:cs="Calibri" w:eastAsia="Calibri" w:hAnsi="Calibri"/>
                <w:b/>
                <w:bCs/>
                <w:color w:val="3D1F3D"/>
                <w:sz w:val="19"/>
                <w:szCs w:val="19"/>
              </w:rPr>
              <w:t xml:space="preserve">What…</w:t>
            </w:r>
          </w:p>
        </w:tc>
        <w:tc>
          <w:tcPr>
            <w:tcW w:type="dxa" w:w="3580"/>
            <w:shd w:fill="FFFFFF" w:val="clear"/>
            <w:tcMar>
              <w:top w:type="dxa" w:w="110"/>
              <w:left w:type="dxa" w:w="130"/>
              <w:bottom w:type="dxa" w:w="110"/>
              <w:right w:type="dxa" w:w="130"/>
            </w:tcMar>
          </w:tcPr>
          <w:p>
            <w:pPr>
              <w:spacing w:line="260"/>
            </w:pPr>
            <w:r>
              <w:rPr>
                <w:rFonts w:ascii="Calibri" w:cs="Calibri" w:eastAsia="Calibri" w:hAnsi="Calibri"/>
                <w:color w:val="5A5A5A"/>
                <w:sz w:val="19"/>
                <w:szCs w:val="19"/>
              </w:rPr>
              <w:t xml:space="preserve">“regardless of age, race, sexual identity, creed, religion, or lack of religion”</w:t>
            </w:r>
          </w:p>
        </w:tc>
        <w:tc>
          <w:tcPr>
            <w:tcW w:type="dxa" w:w="3580"/>
            <w:shd w:fill="FBEDF3" w:val="clear"/>
            <w:tcMar>
              <w:top w:type="dxa" w:w="110"/>
              <w:left w:type="dxa" w:w="130"/>
              <w:bottom w:type="dxa" w:w="110"/>
              <w:right w:type="dxa" w:w="130"/>
            </w:tcMar>
          </w:tcPr>
          <w:p>
            <w:pPr>
              <w:spacing w:line="260"/>
            </w:pPr>
            <w:r>
              <w:rPr>
                <w:rFonts w:ascii="Calibri" w:cs="Calibri" w:eastAsia="Calibri" w:hAnsi="Calibri"/>
                <w:b/>
                <w:bCs/>
                <w:color w:val="2B2B2B"/>
                <w:sz w:val="19"/>
                <w:szCs w:val="19"/>
              </w:rPr>
              <w:t xml:space="preserve">“regardless of age, race, gender, sexual identity, creed, religion, or lack of religion”</w:t>
            </w:r>
          </w:p>
        </w:tc>
      </w:tr>
      <w:tr>
        <w:tc>
          <w:tcPr>
            <w:tcW w:type="dxa" w:w="2200"/>
            <w:shd w:fill="F0E9ED" w:val="clear"/>
            <w:tcMar>
              <w:top w:type="dxa" w:w="110"/>
              <w:left w:type="dxa" w:w="130"/>
              <w:bottom w:type="dxa" w:w="110"/>
              <w:right w:type="dxa" w:w="130"/>
            </w:tcMar>
          </w:tcPr>
          <w:p>
            <w:pPr>
              <w:spacing w:line="260"/>
            </w:pPr>
            <w:r>
              <w:rPr>
                <w:rFonts w:ascii="Calibri" w:cs="Calibri" w:eastAsia="Calibri" w:hAnsi="Calibri"/>
                <w:b/>
                <w:bCs/>
                <w:color w:val="3D1F3D"/>
                <w:sz w:val="19"/>
                <w:szCs w:val="19"/>
              </w:rPr>
              <w:t xml:space="preserve">Why are we here?</w:t>
            </w:r>
          </w:p>
        </w:tc>
        <w:tc>
          <w:tcPr>
            <w:tcW w:type="dxa" w:w="3580"/>
            <w:shd w:fill="FFFFFF" w:val="clear"/>
            <w:tcMar>
              <w:top w:type="dxa" w:w="110"/>
              <w:left w:type="dxa" w:w="130"/>
              <w:bottom w:type="dxa" w:w="110"/>
              <w:right w:type="dxa" w:w="130"/>
            </w:tcMar>
          </w:tcPr>
          <w:p>
            <w:pPr>
              <w:spacing w:line="260"/>
            </w:pPr>
            <w:r>
              <w:rPr>
                <w:rFonts w:ascii="Calibri" w:cs="Calibri" w:eastAsia="Calibri" w:hAnsi="Calibri"/>
                <w:color w:val="5A5A5A"/>
                <w:sz w:val="19"/>
                <w:szCs w:val="19"/>
              </w:rPr>
              <w:t xml:space="preserve">“ahead of our families, our wives, husbands and our children”</w:t>
            </w:r>
          </w:p>
        </w:tc>
        <w:tc>
          <w:tcPr>
            <w:tcW w:type="dxa" w:w="3580"/>
            <w:shd w:fill="FBEDF3" w:val="clear"/>
            <w:tcMar>
              <w:top w:type="dxa" w:w="110"/>
              <w:left w:type="dxa" w:w="130"/>
              <w:bottom w:type="dxa" w:w="110"/>
              <w:right w:type="dxa" w:w="130"/>
            </w:tcMar>
          </w:tcPr>
          <w:p>
            <w:pPr>
              <w:spacing w:line="260"/>
            </w:pPr>
            <w:r>
              <w:rPr>
                <w:rFonts w:ascii="Calibri" w:cs="Calibri" w:eastAsia="Calibri" w:hAnsi="Calibri"/>
                <w:b/>
                <w:bCs/>
                <w:color w:val="2B2B2B"/>
                <w:sz w:val="19"/>
                <w:szCs w:val="19"/>
              </w:rPr>
              <w:t xml:space="preserve">“ahead of our families and loved ones”</w:t>
            </w:r>
          </w:p>
        </w:tc>
      </w:tr>
    </w:tbl>
    <w:p>
      <w:pPr>
        <w:spacing w:after="140"/>
      </w:pPr>
    </w:p>
    <w:p>
      <w:pPr>
        <w:spacing w:after="140" w:line="276"/>
      </w:pPr>
      <w:r>
        <w:rPr>
          <w:rFonts w:ascii="Calibri" w:cs="Calibri" w:eastAsia="Calibri" w:hAnsi="Calibri"/>
          <w:i/>
          <w:iCs/>
          <w:color w:val="3D1F3D"/>
          <w:sz w:val="21"/>
          <w:szCs w:val="21"/>
        </w:rPr>
        <w:t xml:space="preserve">“That is it. Four changes.”</w:t>
      </w:r>
    </w:p>
    <w:p>
      <w:pPr>
        <w:spacing w:after="120"/>
      </w:pPr>
    </w:p>
    <w:p>
      <w:pPr>
        <w:spacing w:after="80" w:line="276"/>
      </w:pPr>
      <w:r>
        <w:rPr>
          <w:rFonts w:ascii="Calibri" w:cs="Calibri" w:eastAsia="Calibri" w:hAnsi="Calibri"/>
          <w:b/>
          <w:bCs/>
          <w:color w:val="3D1F3D"/>
          <w:sz w:val="21"/>
          <w:szCs w:val="21"/>
        </w:rPr>
        <w:t xml:space="preserve">Slide 8: This is not new</w:t>
      </w:r>
    </w:p>
    <w:p>
      <w:pPr>
        <w:spacing w:after="140" w:line="276"/>
      </w:pPr>
      <w:r>
        <w:rPr>
          <w:rFonts w:ascii="Calibri" w:cs="Calibri" w:eastAsia="Calibri" w:hAnsi="Calibri"/>
          <w:color w:val="2B2B2B"/>
          <w:sz w:val="21"/>
          <w:szCs w:val="21"/>
        </w:rPr>
        <w:t xml:space="preserve">Brief, and useful for members worried about precedent.</w:t>
      </w:r>
    </w:p>
    <w:p>
      <w:pPr>
        <w:pStyle w:val="ListParagraph"/>
        <w:numPr>
          <w:ilvl w:val="0"/>
          <w:numId w:val="3"/>
        </w:numPr>
        <w:spacing w:after="90" w:line="276"/>
      </w:pPr>
      <w:r>
        <w:rPr>
          <w:rFonts w:ascii="Calibri" w:cs="Calibri" w:eastAsia="Calibri" w:hAnsi="Calibri"/>
          <w:color w:val="2B2B2B"/>
          <w:sz w:val="21"/>
          <w:szCs w:val="21"/>
        </w:rPr>
        <w:t xml:space="preserve">Our Basic Text has six editions and a revision. Earlier versions warned addicts not to take “that first fix, pill, or drink.” That was revised to “that first drug,” to reflect that we do not care what or how much you used.</w:t>
      </w:r>
    </w:p>
    <w:p>
      <w:pPr>
        <w:pStyle w:val="ListParagraph"/>
        <w:numPr>
          <w:ilvl w:val="0"/>
          <w:numId w:val="3"/>
        </w:numPr>
        <w:spacing w:after="90" w:line="276"/>
      </w:pPr>
      <w:r>
        <w:rPr>
          <w:rFonts w:ascii="Calibri" w:cs="Calibri" w:eastAsia="Calibri" w:hAnsi="Calibri"/>
          <w:color w:val="2B2B2B"/>
          <w:sz w:val="21"/>
          <w:szCs w:val="21"/>
        </w:rPr>
        <w:t xml:space="preserve">Our more recently published books are already deliberately gender-neutral in the “we” sections. The phrase “men and women” does not appear anywhere in Living Clean.</w:t>
      </w:r>
    </w:p>
    <w:p>
      <w:pPr>
        <w:pStyle w:val="ListParagraph"/>
        <w:numPr>
          <w:ilvl w:val="0"/>
          <w:numId w:val="3"/>
        </w:numPr>
        <w:spacing w:after="90" w:line="276"/>
      </w:pPr>
      <w:r>
        <w:rPr>
          <w:rFonts w:ascii="Calibri" w:cs="Calibri" w:eastAsia="Calibri" w:hAnsi="Calibri"/>
          <w:color w:val="2B2B2B"/>
          <w:sz w:val="21"/>
          <w:szCs w:val="21"/>
        </w:rPr>
        <w:t xml:space="preserve">In 2023 the conference changed the Vision Statement from “his or her own language and culture” to “their own language and culture.”</w:t>
      </w:r>
    </w:p>
    <w:p>
      <w:pPr>
        <w:spacing w:after="200"/>
      </w:pPr>
    </w:p>
    <w:p>
      <w:pPr>
        <w:pStyle w:val="Heading2"/>
        <w:spacing w:after="120" w:before="300"/>
      </w:pPr>
      <w:r>
        <w:rPr>
          <w:rFonts w:ascii="Cambria" w:cs="Cambria" w:eastAsia="Cambria" w:hAnsi="Cambria"/>
          <w:b/>
          <w:bCs/>
          <w:color w:val="C42A61"/>
          <w:sz w:val="26"/>
          <w:szCs w:val="26"/>
        </w:rPr>
        <w:t xml:space="preserve">4.  Table discussion</w:t>
      </w:r>
    </w:p>
    <w:p>
      <w:pPr>
        <w:spacing w:after="160" w:line="276"/>
      </w:pPr>
      <w:r>
        <w:rPr>
          <w:rFonts w:ascii="Calibri" w:cs="Calibri" w:eastAsia="Calibri" w:hAnsi="Calibri"/>
          <w:i/>
          <w:iCs/>
          <w:color w:val="5A5A5A"/>
          <w:sz w:val="19"/>
          <w:szCs w:val="19"/>
        </w:rPr>
        <w:t xml:space="preserve">30 minutes</w:t>
      </w:r>
    </w:p>
    <w:p>
      <w:pPr>
        <w:spacing w:after="80" w:line="276"/>
      </w:pPr>
      <w:r>
        <w:rPr>
          <w:rFonts w:ascii="Calibri" w:cs="Calibri" w:eastAsia="Calibri" w:hAnsi="Calibri"/>
          <w:b/>
          <w:bCs/>
          <w:color w:val="3D1F3D"/>
          <w:sz w:val="21"/>
          <w:szCs w:val="21"/>
        </w:rPr>
        <w:t xml:space="preserve">Slide 9: Discussion questions</w:t>
      </w:r>
    </w:p>
    <w:p>
      <w:pPr>
        <w:spacing w:after="140" w:line="276"/>
      </w:pPr>
      <w:r>
        <w:rPr>
          <w:rFonts w:ascii="Calibri" w:cs="Calibri" w:eastAsia="Calibri" w:hAnsi="Calibri"/>
          <w:color w:val="2B2B2B"/>
          <w:sz w:val="21"/>
          <w:szCs w:val="21"/>
        </w:rPr>
        <w:t xml:space="preserve">Break into table groups. Ask each table to pick someone to keep the conversation moving and someone to take notes on the discussion sheet.</w:t>
      </w:r>
    </w:p>
    <w:p>
      <w:pPr>
        <w:spacing w:after="140" w:line="276"/>
      </w:pPr>
      <w:r>
        <w:rPr>
          <w:rFonts w:ascii="Calibri" w:cs="Calibri" w:eastAsia="Calibri" w:hAnsi="Calibri"/>
          <w:color w:val="2B2B2B"/>
          <w:sz w:val="21"/>
          <w:szCs w:val="21"/>
        </w:rPr>
        <w:t xml:space="preserve">Remind the room: this is a discussion, not a debate, and nobody is voting on anything today.</w:t>
      </w:r>
    </w:p>
    <w:p>
      <w:pPr>
        <w:pStyle w:val="Heading3"/>
        <w:spacing w:after="80" w:before="220"/>
      </w:pPr>
      <w:r>
        <w:rPr>
          <w:rFonts w:ascii="Calibri" w:cs="Calibri" w:eastAsia="Calibri" w:hAnsi="Calibri"/>
          <w:b/>
          <w:bCs/>
          <w:color w:val="C42A61"/>
          <w:sz w:val="23"/>
          <w:szCs w:val="23"/>
        </w:rPr>
        <w:t xml:space="preserve">The questions, as printed on the table sheet</w:t>
      </w:r>
    </w:p>
    <w:p>
      <w:pPr>
        <w:spacing w:after="90" w:line="276"/>
      </w:pPr>
      <w:r>
        <w:rPr>
          <w:rFonts w:ascii="Calibri" w:cs="Calibri" w:eastAsia="Calibri" w:hAnsi="Calibri"/>
          <w:color w:val="2B2B2B"/>
          <w:sz w:val="21"/>
          <w:szCs w:val="21"/>
        </w:rPr>
        <w:t xml:space="preserve">1.  Think back to your first meeting. Did you hear something you could see yourself in, or did you have to look past something to stay? What was it?</w:t>
      </w:r>
    </w:p>
    <w:p>
      <w:pPr>
        <w:spacing w:after="90" w:line="276"/>
      </w:pPr>
      <w:r>
        <w:rPr>
          <w:rFonts w:ascii="Calibri" w:cs="Calibri" w:eastAsia="Calibri" w:hAnsi="Calibri"/>
          <w:color w:val="2B2B2B"/>
          <w:sz w:val="21"/>
          <w:szCs w:val="21"/>
        </w:rPr>
        <w:t xml:space="preserve">2.  What would change for a newcomer hearing the revised version read at their first meeting?</w:t>
      </w:r>
    </w:p>
    <w:p>
      <w:pPr>
        <w:spacing w:after="90" w:line="276"/>
      </w:pPr>
      <w:r>
        <w:rPr>
          <w:rFonts w:ascii="Calibri" w:cs="Calibri" w:eastAsia="Calibri" w:hAnsi="Calibri"/>
          <w:color w:val="2B2B2B"/>
          <w:sz w:val="21"/>
          <w:szCs w:val="21"/>
        </w:rPr>
        <w:t xml:space="preserve">3.  Do you object to any of the four changes? Which one, and why?</w:t>
      </w:r>
    </w:p>
    <w:p>
      <w:pPr>
        <w:spacing w:after="160" w:line="276"/>
      </w:pPr>
      <w:r>
        <w:rPr>
          <w:rFonts w:ascii="Calibri" w:cs="Calibri" w:eastAsia="Calibri" w:hAnsi="Calibri"/>
          <w:color w:val="2B2B2B"/>
          <w:sz w:val="21"/>
          <w:szCs w:val="21"/>
        </w:rPr>
        <w:t xml:space="preserve">4.  Is there anything you believe should be worded differently, or anything you think was missed?</w:t>
      </w:r>
    </w:p>
    <w:tbl>
      <w:tblPr>
        <w:tblW w:type="dxa" w:w="9360"/>
        <w:tblBorders>
          <w:top w:val="single" w:color="D8CBD3" w:sz="4"/>
          <w:left w:val="single" w:color="4E7A7B" w:sz="18"/>
          <w:bottom w:val="single" w:color="D8CBD3" w:sz="4"/>
          <w:right w:val="single" w:color="D8CBD3" w:sz="4"/>
          <w:insideH w:val="none" w:color="FFFFFF" w:sz="0"/>
          <w:insideV w:val="none" w:color="FFFFFF" w:sz="0"/>
        </w:tblBorders>
      </w:tblPr>
      <w:tblGrid>
        <w:gridCol w:w="9360"/>
      </w:tblGrid>
      <w:tr>
        <w:tc>
          <w:tcPr>
            <w:tcW w:type="dxa" w:w="9360"/>
            <w:shd w:fill="F4F0F2" w:val="clear"/>
            <w:tcMar>
              <w:top w:type="dxa" w:w="140"/>
              <w:left w:type="dxa" w:w="180"/>
              <w:bottom w:type="dxa" w:w="140"/>
              <w:right w:type="dxa" w:w="180"/>
            </w:tcMar>
          </w:tcPr>
          <w:p>
            <w:pPr>
              <w:spacing w:after="60"/>
            </w:pPr>
            <w:r>
              <w:rPr>
                <w:rFonts w:ascii="Calibri" w:cs="Calibri" w:eastAsia="Calibri" w:hAnsi="Calibri"/>
                <w:b/>
                <w:bCs/>
                <w:color w:val="4E7A7B"/>
                <w:sz w:val="20"/>
                <w:szCs w:val="20"/>
              </w:rPr>
              <w:t xml:space="preserve">Facilitator note on question 3</w:t>
            </w:r>
          </w:p>
          <w:p>
            <w:pPr>
              <w:spacing w:line="276"/>
            </w:pPr>
            <w:r>
              <w:rPr>
                <w:rFonts w:ascii="Calibri" w:cs="Calibri" w:eastAsia="Calibri" w:hAnsi="Calibri"/>
                <w:color w:val="2B2B2B"/>
                <w:sz w:val="20"/>
                <w:szCs w:val="20"/>
              </w:rPr>
              <w:t xml:space="preserve">This question matters more than the others. Sixteen percent of the Fellowship said no in the CAR survey and we understand that group least. If a table is unanimously in favor, ask them to spend a minute on what someone with reservations might say. Input that only records agreement is not useful input.</w:t>
            </w:r>
          </w:p>
        </w:tc>
      </w:tr>
    </w:tbl>
    <w:p>
      <w:pPr>
        <w:spacing w:after="200"/>
      </w:pPr>
    </w:p>
    <w:p>
      <w:pPr>
        <w:pStyle w:val="Heading2"/>
        <w:spacing w:after="120" w:before="300"/>
      </w:pPr>
      <w:r>
        <w:rPr>
          <w:rFonts w:ascii="Cambria" w:cs="Cambria" w:eastAsia="Cambria" w:hAnsi="Cambria"/>
          <w:b/>
          <w:bCs/>
          <w:color w:val="C42A61"/>
          <w:sz w:val="26"/>
          <w:szCs w:val="26"/>
        </w:rPr>
        <w:t xml:space="preserve">5.  Report back and close</w:t>
      </w:r>
    </w:p>
    <w:p>
      <w:pPr>
        <w:spacing w:after="160" w:line="276"/>
      </w:pPr>
      <w:r>
        <w:rPr>
          <w:rFonts w:ascii="Calibri" w:cs="Calibri" w:eastAsia="Calibri" w:hAnsi="Calibri"/>
          <w:i/>
          <w:iCs/>
          <w:color w:val="5A5A5A"/>
          <w:sz w:val="19"/>
          <w:szCs w:val="19"/>
        </w:rPr>
        <w:t xml:space="preserve">15 minutes</w:t>
      </w:r>
    </w:p>
    <w:p>
      <w:pPr>
        <w:spacing w:after="80" w:line="276"/>
      </w:pPr>
      <w:r>
        <w:rPr>
          <w:rFonts w:ascii="Calibri" w:cs="Calibri" w:eastAsia="Calibri" w:hAnsi="Calibri"/>
          <w:b/>
          <w:bCs/>
          <w:color w:val="3D1F3D"/>
          <w:sz w:val="21"/>
          <w:szCs w:val="21"/>
        </w:rPr>
        <w:t xml:space="preserve">Slide 10: What did you hear?</w:t>
      </w:r>
    </w:p>
    <w:p>
      <w:pPr>
        <w:spacing w:after="140" w:line="276"/>
      </w:pPr>
      <w:r>
        <w:rPr>
          <w:rFonts w:ascii="Calibri" w:cs="Calibri" w:eastAsia="Calibri" w:hAnsi="Calibri"/>
          <w:color w:val="2B2B2B"/>
          <w:sz w:val="21"/>
          <w:szCs w:val="21"/>
        </w:rPr>
        <w:t xml:space="preserve">Bring the room back. Take report-back from tables, or open sharing, depending on room size. Two prompts:</w:t>
      </w:r>
    </w:p>
    <w:p>
      <w:pPr>
        <w:pStyle w:val="ListParagraph"/>
        <w:numPr>
          <w:ilvl w:val="0"/>
          <w:numId w:val="2"/>
        </w:numPr>
        <w:spacing w:after="90" w:line="276"/>
      </w:pPr>
      <w:r>
        <w:rPr>
          <w:rFonts w:ascii="Calibri" w:cs="Calibri" w:eastAsia="Calibri" w:hAnsi="Calibri"/>
          <w:color w:val="2B2B2B"/>
          <w:sz w:val="21"/>
          <w:szCs w:val="21"/>
        </w:rPr>
        <w:t xml:space="preserve">What was the most interesting thing you heard at your table?</w:t>
      </w:r>
    </w:p>
    <w:p>
      <w:pPr>
        <w:pStyle w:val="ListParagraph"/>
        <w:numPr>
          <w:ilvl w:val="0"/>
          <w:numId w:val="2"/>
        </w:numPr>
        <w:spacing w:after="90" w:line="276"/>
      </w:pPr>
      <w:r>
        <w:rPr>
          <w:rFonts w:ascii="Calibri" w:cs="Calibri" w:eastAsia="Calibri" w:hAnsi="Calibri"/>
          <w:color w:val="2B2B2B"/>
          <w:sz w:val="21"/>
          <w:szCs w:val="21"/>
        </w:rPr>
        <w:t xml:space="preserve">Did your thinking change during this workshop?</w:t>
      </w:r>
    </w:p>
    <w:p>
      <w:pPr>
        <w:spacing w:after="120"/>
      </w:pPr>
    </w:p>
    <w:p>
      <w:pPr>
        <w:spacing w:after="80" w:line="276"/>
      </w:pPr>
      <w:r>
        <w:rPr>
          <w:rFonts w:ascii="Calibri" w:cs="Calibri" w:eastAsia="Calibri" w:hAnsi="Calibri"/>
          <w:b/>
          <w:bCs/>
          <w:color w:val="3D1F3D"/>
          <w:sz w:val="21"/>
          <w:szCs w:val="21"/>
        </w:rPr>
        <w:t xml:space="preserve">Slide 11: Your input matters, and the clock is running</w:t>
      </w:r>
    </w:p>
    <w:p>
      <w:pPr>
        <w:pBdr>
          <w:left w:val="single" w:color="C42A61" w:sz="12" w:space="12"/>
        </w:pBdr>
        <w:spacing w:after="140" w:line="276"/>
        <w:ind w:left="360"/>
      </w:pPr>
      <w:r>
        <w:rPr>
          <w:rFonts w:ascii="Calibri" w:cs="Calibri" w:eastAsia="Calibri" w:hAnsi="Calibri"/>
          <w:i/>
          <w:iCs/>
          <w:color w:val="3A3A3A"/>
          <w:sz w:val="21"/>
          <w:szCs w:val="21"/>
        </w:rPr>
        <w:t xml:space="preserve">The draft and the input form are posted at na.org/genderproject, and the review is open until the end of October 2026.</w:t>
      </w:r>
    </w:p>
    <w:p>
      <w:pPr>
        <w:pBdr>
          <w:left w:val="single" w:color="C42A61" w:sz="12" w:space="12"/>
        </w:pBdr>
        <w:spacing w:after="140" w:line="276"/>
        <w:ind w:left="360"/>
      </w:pPr>
      <w:r>
        <w:rPr>
          <w:rFonts w:ascii="Calibri" w:cs="Calibri" w:eastAsia="Calibri" w:hAnsi="Calibri"/>
          <w:i/>
          <w:iCs/>
          <w:color w:val="3A3A3A"/>
          <w:sz w:val="21"/>
          <w:szCs w:val="21"/>
        </w:rPr>
        <w:t xml:space="preserve">Please fill out the form. You can do it as an individual, or your group or service body can submit together. Say which you are, because it matters to how the input is read.</w:t>
      </w:r>
    </w:p>
    <w:p>
      <w:pPr>
        <w:pBdr>
          <w:left w:val="single" w:color="C42A61" w:sz="12" w:space="12"/>
        </w:pBdr>
        <w:spacing w:after="140" w:line="276"/>
        <w:ind w:left="360"/>
      </w:pPr>
      <w:r>
        <w:rPr>
          <w:rFonts w:ascii="Calibri" w:cs="Calibri" w:eastAsia="Calibri" w:hAnsi="Calibri"/>
          <w:i/>
          <w:iCs/>
          <w:color w:val="3A3A3A"/>
          <w:sz w:val="21"/>
          <w:szCs w:val="21"/>
        </w:rPr>
        <w:t xml:space="preserve">The form asks four things: whether you object to any of the four changes, why or why not, whether anything should be worded differently or was missed, and if so, what.</w:t>
      </w:r>
    </w:p>
    <w:p>
      <w:pPr>
        <w:spacing w:after="120"/>
      </w:pPr>
    </w:p>
    <w:p>
      <w:pPr>
        <w:spacing w:after="80" w:line="276"/>
      </w:pPr>
      <w:r>
        <w:rPr>
          <w:rFonts w:ascii="Calibri" w:cs="Calibri" w:eastAsia="Calibri" w:hAnsi="Calibri"/>
          <w:b/>
          <w:bCs/>
          <w:color w:val="3D1F3D"/>
          <w:sz w:val="21"/>
          <w:szCs w:val="21"/>
        </w:rPr>
        <w:t xml:space="preserve">Slide 12: Stay involved</w:t>
      </w:r>
    </w:p>
    <w:p>
      <w:pPr>
        <w:pStyle w:val="ListParagraph"/>
        <w:numPr>
          <w:ilvl w:val="0"/>
          <w:numId w:val="3"/>
        </w:numPr>
        <w:spacing w:after="90" w:line="276"/>
      </w:pPr>
      <w:r>
        <w:rPr>
          <w:rFonts w:ascii="Calibri" w:cs="Calibri" w:eastAsia="Calibri" w:hAnsi="Calibri"/>
          <w:color w:val="2B2B2B"/>
          <w:sz w:val="21"/>
          <w:szCs w:val="21"/>
        </w:rPr>
        <w:t xml:space="preserve">Open web meeting on this project: 26 September, 11:00 am PDT. Zoom ID 838 9514 2767, password 1953. Check your local time.</w:t>
      </w:r>
    </w:p>
    <w:p>
      <w:pPr>
        <w:pStyle w:val="ListParagraph"/>
        <w:numPr>
          <w:ilvl w:val="0"/>
          <w:numId w:val="3"/>
        </w:numPr>
        <w:spacing w:after="90" w:line="276"/>
      </w:pPr>
      <w:r>
        <w:rPr>
          <w:rFonts w:ascii="Calibri" w:cs="Calibri" w:eastAsia="Calibri" w:hAnsi="Calibri"/>
          <w:color w:val="2B2B2B"/>
          <w:sz w:val="21"/>
          <w:szCs w:val="21"/>
        </w:rPr>
        <w:t xml:space="preserve">Subscribe to NAWS updates at na.org/subscribe</w:t>
      </w:r>
    </w:p>
    <w:p>
      <w:pPr>
        <w:pStyle w:val="ListParagraph"/>
        <w:numPr>
          <w:ilvl w:val="0"/>
          <w:numId w:val="3"/>
        </w:numPr>
        <w:spacing w:after="90" w:line="276"/>
      </w:pPr>
      <w:r>
        <w:rPr>
          <w:rFonts w:ascii="Calibri" w:cs="Calibri" w:eastAsia="Calibri" w:hAnsi="Calibri"/>
          <w:color w:val="2B2B2B"/>
          <w:sz w:val="21"/>
          <w:szCs w:val="21"/>
        </w:rPr>
        <w:t xml:space="preserve">Groups looking for gender-neutral readings can find alternatives other groups use at na.org/gender, or email their own to wb@na.org</w:t>
      </w:r>
    </w:p>
    <w:p>
      <w:pPr>
        <w:spacing w:after="120"/>
      </w:pPr>
    </w:p>
    <w:p>
      <w:pPr>
        <w:spacing w:after="80" w:line="276"/>
      </w:pPr>
      <w:r>
        <w:rPr>
          <w:rFonts w:ascii="Calibri" w:cs="Calibri" w:eastAsia="Calibri" w:hAnsi="Calibri"/>
          <w:b/>
          <w:bCs/>
          <w:color w:val="3D1F3D"/>
          <w:sz w:val="21"/>
          <w:szCs w:val="21"/>
        </w:rPr>
        <w:t xml:space="preserve">Slide 13: Closing</w:t>
      </w:r>
    </w:p>
    <w:p>
      <w:pPr>
        <w:spacing w:after="140" w:line="276"/>
      </w:pPr>
      <w:r>
        <w:rPr>
          <w:rFonts w:ascii="Calibri" w:cs="Calibri" w:eastAsia="Calibri" w:hAnsi="Calibri"/>
          <w:color w:val="2B2B2B"/>
          <w:sz w:val="21"/>
          <w:szCs w:val="21"/>
        </w:rPr>
        <w:t xml:space="preserve">Close however the convention normally closes a workshop. Optional closing line:</w:t>
      </w:r>
    </w:p>
    <w:p>
      <w:pPr>
        <w:pBdr>
          <w:left w:val="single" w:color="C42A61" w:sz="12" w:space="12"/>
        </w:pBdr>
        <w:spacing w:after="140" w:line="276"/>
        <w:ind w:left="360"/>
      </w:pPr>
      <w:r>
        <w:rPr>
          <w:rFonts w:ascii="Calibri" w:cs="Calibri" w:eastAsia="Calibri" w:hAnsi="Calibri"/>
          <w:i/>
          <w:iCs/>
          <w:color w:val="3A3A3A"/>
          <w:sz w:val="21"/>
          <w:szCs w:val="21"/>
        </w:rPr>
        <w:t xml:space="preserve">Whatever happens with this draft, it will not happen without us. Nothing changes in our literature without the Fellowship deciding it together. That is why the form matters.</w:t>
      </w:r>
    </w:p>
    <w:p>
      <w:r>
        <w:br w:type="page"/>
      </w:r>
    </w:p>
    <w:p>
      <w:pPr>
        <w:pStyle w:val="Heading1"/>
        <w:spacing w:after="160" w:before="360"/>
      </w:pPr>
      <w:r>
        <w:rPr>
          <w:rFonts w:ascii="Cambria" w:cs="Cambria" w:eastAsia="Cambria" w:hAnsi="Cambria"/>
          <w:b/>
          <w:bCs/>
          <w:color w:val="3D1F3D"/>
          <w:sz w:val="34"/>
          <w:szCs w:val="34"/>
        </w:rPr>
        <w:t xml:space="preserve">Open items for review</w:t>
      </w:r>
    </w:p>
    <w:p>
      <w:pPr>
        <w:spacing w:after="120" w:line="276"/>
      </w:pPr>
      <w:r>
        <w:rPr>
          <w:rFonts w:ascii="Calibri" w:cs="Calibri" w:eastAsia="Calibri" w:hAnsi="Calibri"/>
          <w:color w:val="2B2B2B"/>
          <w:sz w:val="21"/>
          <w:szCs w:val="21"/>
        </w:rPr>
        <w:t xml:space="preserve">1.  Input destination. The project flyer points to na.org/genderproject. The IP #1 draft cover letter points to na.org/survey. This profile uses na.org/genderproject throughout. Confirm before printing.</w:t>
      </w:r>
    </w:p>
    <w:p>
      <w:pPr>
        <w:spacing w:after="120" w:line="276"/>
      </w:pPr>
      <w:r>
        <w:rPr>
          <w:rFonts w:ascii="Calibri" w:cs="Calibri" w:eastAsia="Calibri" w:hAnsi="Calibri"/>
          <w:color w:val="2B2B2B"/>
          <w:sz w:val="21"/>
          <w:szCs w:val="21"/>
        </w:rPr>
        <w:t xml:space="preserve">2.  Web meeting date. The 26 September web meeting falls after the 20 September convention weekend, so it works as a next step. Confirm it is still scheduled before putting it on a slide.</w:t>
      </w:r>
    </w:p>
    <w:p>
      <w:pPr>
        <w:spacing w:after="120" w:line="276"/>
      </w:pPr>
      <w:r>
        <w:rPr>
          <w:rFonts w:ascii="Calibri" w:cs="Calibri" w:eastAsia="Calibri" w:hAnsi="Calibri"/>
          <w:color w:val="2B2B2B"/>
          <w:sz w:val="21"/>
          <w:szCs w:val="21"/>
        </w:rPr>
        <w:t xml:space="preserve">3.  Time zone. 11:00 am PDT is published as such. For a Canadian audience it may be worth printing the local equivalent on the handout.</w:t>
      </w:r>
    </w:p>
    <w:p>
      <w:pPr>
        <w:spacing w:after="120" w:line="276"/>
      </w:pPr>
      <w:r>
        <w:rPr>
          <w:rFonts w:ascii="Calibri" w:cs="Calibri" w:eastAsia="Calibri" w:hAnsi="Calibri"/>
          <w:color w:val="2B2B2B"/>
          <w:sz w:val="21"/>
          <w:szCs w:val="21"/>
        </w:rPr>
        <w:t xml:space="preserve">4.  Read-aloud passages. Facilitators should read from the actual reading cards and the posted review draft rather than from this profile, so the room hears the text exactly as written.</w:t>
      </w:r>
    </w:p>
    <w:p>
      <w:pPr>
        <w:spacing w:after="120" w:line="276"/>
      </w:pPr>
      <w:r>
        <w:rPr>
          <w:rFonts w:ascii="Calibri" w:cs="Calibri" w:eastAsia="Calibri" w:hAnsi="Calibri"/>
          <w:color w:val="2B2B2B"/>
          <w:sz w:val="21"/>
          <w:szCs w:val="21"/>
        </w:rPr>
        <w:t xml:space="preserve">5.  Presenter count. Written for one or two presenters. If two, the natural split is one taking sections 1 through 3 and the other taking 4 and 5.</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2026-09-04T19:42:44.996Z</dcterms:created>
  <dcterms:modified xsi:type="dcterms:W3CDTF">2026-09-04T19:42:44.996Z</dcterms:modified>
</cp:coreProperties>
</file>

<file path=docProps/custom.xml><?xml version="1.0" encoding="utf-8"?>
<Properties xmlns="http://schemas.openxmlformats.org/officeDocument/2006/custom-properties" xmlns:vt="http://schemas.openxmlformats.org/officeDocument/2006/docPropsVTypes"/>
</file>